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D0A" w:rsidRPr="00C03D0A" w:rsidRDefault="00C03D0A" w:rsidP="00C03D0A">
      <w:pPr>
        <w:rPr>
          <w:b/>
          <w:bCs/>
        </w:rPr>
      </w:pPr>
      <w:r w:rsidRPr="00C03D0A">
        <w:rPr>
          <w:b/>
          <w:bCs/>
        </w:rPr>
        <w:t>Summary</w:t>
      </w:r>
    </w:p>
    <w:p w:rsidR="00C03D0A" w:rsidRDefault="00C03D0A" w:rsidP="00C03D0A">
      <w:r w:rsidRPr="00C03D0A">
        <w:rPr>
          <w:lang w:val="en-US"/>
        </w:rPr>
        <w:t xml:space="preserve">Pulmonary embolism (PE) is frequently misdiagnosed as acute coronary syndrome (ACS) due to common symp-toms and electrocardiographic (ECG) findings. </w:t>
      </w:r>
      <w:r w:rsidRPr="00C03D0A">
        <w:t>Coronary slow flow contributes to ECG changes observed in acute pulmonary embolism. In morbidly obese patients, the efficacy of a fixed dose of novel oral anticoagulants (NOACs), which are commonly used for treatment, needs further investigation.</w:t>
      </w:r>
    </w:p>
    <w:p w:rsidR="00C03D0A" w:rsidRPr="00C03D0A" w:rsidRDefault="00C03D0A" w:rsidP="00C03D0A">
      <w:pPr>
        <w:rPr>
          <w:b/>
          <w:bCs/>
          <w:lang w:val="en-US"/>
        </w:rPr>
      </w:pPr>
      <w:r w:rsidRPr="00C03D0A">
        <w:rPr>
          <w:b/>
          <w:bCs/>
          <w:lang w:val="en-US"/>
        </w:rPr>
        <w:t>Keywords</w:t>
      </w:r>
    </w:p>
    <w:p w:rsidR="00C03D0A" w:rsidRDefault="00C03D0A" w:rsidP="00C03D0A">
      <w:pPr>
        <w:rPr>
          <w:rFonts w:ascii="Times New Roman" w:hAnsi="Times New Roman" w:cs="Times New Roman"/>
          <w:lang w:val="en-US"/>
        </w:rPr>
      </w:pPr>
      <w:r w:rsidRPr="00C03D0A">
        <w:rPr>
          <w:lang w:val="en-US"/>
        </w:rPr>
        <w:t>Pulmonary embolism, slow flow, obesity</w:t>
      </w:r>
      <w:r w:rsidR="00C545C5">
        <w:rPr>
          <w:lang w:val="en-US"/>
        </w:rPr>
        <w:t>.</w:t>
      </w:r>
    </w:p>
    <w:p w:rsidR="00D956D4" w:rsidRPr="00C03D0A" w:rsidRDefault="00D956D4" w:rsidP="00C03D0A">
      <w:pPr>
        <w:rPr>
          <w:lang w:val="en-US"/>
        </w:rPr>
      </w:pPr>
    </w:p>
    <w:sectPr w:rsidR="00D956D4" w:rsidRPr="00C03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F9"/>
    <w:rsid w:val="00143916"/>
    <w:rsid w:val="00365F65"/>
    <w:rsid w:val="006F07AF"/>
    <w:rsid w:val="00C03D0A"/>
    <w:rsid w:val="00C43800"/>
    <w:rsid w:val="00C545C5"/>
    <w:rsid w:val="00D956D4"/>
    <w:rsid w:val="00D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8AFE3"/>
  <w15:chartTrackingRefBased/>
  <w15:docId w15:val="{2356FBD9-5DC5-4A6F-A2B5-2D1CC1E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8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3</cp:revision>
  <dcterms:created xsi:type="dcterms:W3CDTF">2020-04-10T17:19:00Z</dcterms:created>
  <dcterms:modified xsi:type="dcterms:W3CDTF">2020-04-10T17:20:00Z</dcterms:modified>
</cp:coreProperties>
</file>